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6C3D" w14:textId="77F5A622" w:rsidR="00974601" w:rsidRPr="001426F8" w:rsidRDefault="001426F8" w:rsidP="008F59BE">
      <w:pPr>
        <w:spacing w:after="60" w:line="276" w:lineRule="auto"/>
        <w:ind w:left="618" w:right="1256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ZÁVAZNÉ </w:t>
      </w:r>
      <w:r w:rsidR="007266F7" w:rsidRPr="001426F8">
        <w:rPr>
          <w:rFonts w:asciiTheme="minorHAnsi" w:hAnsiTheme="minorHAnsi" w:cstheme="minorHAnsi"/>
          <w:b/>
          <w:sz w:val="32"/>
          <w:szCs w:val="32"/>
        </w:rPr>
        <w:t>POKYNY</w:t>
      </w:r>
    </w:p>
    <w:p w14:paraId="11F56C3E" w14:textId="30D156E4" w:rsidR="00974601" w:rsidRPr="007266F7" w:rsidRDefault="002A23F7" w:rsidP="008F59BE">
      <w:pPr>
        <w:spacing w:after="60" w:line="276" w:lineRule="auto"/>
        <w:ind w:left="618" w:right="12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66F7">
        <w:rPr>
          <w:rFonts w:asciiTheme="minorHAnsi" w:hAnsiTheme="minorHAnsi" w:cstheme="minorHAnsi"/>
          <w:b/>
          <w:sz w:val="24"/>
          <w:szCs w:val="24"/>
        </w:rPr>
        <w:t>PRO</w:t>
      </w:r>
      <w:r w:rsidRPr="007266F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VYÚČTOVÁNÍ</w:t>
      </w:r>
      <w:r w:rsidRPr="007266F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A</w:t>
      </w:r>
      <w:r w:rsidRPr="007266F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VYPOŘÁDÁNÍ</w:t>
      </w:r>
      <w:r w:rsidRPr="007266F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SE</w:t>
      </w:r>
      <w:r w:rsidRPr="007266F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STÁTNÍM</w:t>
      </w:r>
      <w:r w:rsidRPr="007266F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ROZPOČTEM</w:t>
      </w:r>
      <w:r w:rsidRPr="007266F7">
        <w:rPr>
          <w:rFonts w:asciiTheme="minorHAnsi" w:hAnsiTheme="minorHAnsi" w:cstheme="minorHAnsi"/>
          <w:b/>
          <w:spacing w:val="-69"/>
          <w:sz w:val="24"/>
          <w:szCs w:val="24"/>
        </w:rPr>
        <w:t xml:space="preserve"> </w:t>
      </w:r>
      <w:r w:rsidR="007266F7">
        <w:rPr>
          <w:rFonts w:asciiTheme="minorHAnsi" w:hAnsiTheme="minorHAnsi" w:cstheme="minorHAnsi"/>
          <w:b/>
          <w:spacing w:val="-69"/>
          <w:sz w:val="24"/>
          <w:szCs w:val="24"/>
        </w:rPr>
        <w:t xml:space="preserve">       </w:t>
      </w:r>
    </w:p>
    <w:p w14:paraId="11F56C3F" w14:textId="5862CB6B" w:rsidR="00974601" w:rsidRDefault="002A23F7" w:rsidP="008F59BE">
      <w:pPr>
        <w:spacing w:after="60" w:line="276" w:lineRule="auto"/>
        <w:ind w:left="618" w:right="12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66F7">
        <w:rPr>
          <w:rFonts w:asciiTheme="minorHAnsi" w:hAnsiTheme="minorHAnsi" w:cstheme="minorHAnsi"/>
          <w:b/>
          <w:sz w:val="24"/>
          <w:szCs w:val="24"/>
        </w:rPr>
        <w:t>ZA</w:t>
      </w:r>
      <w:r w:rsidRPr="007266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ROK</w:t>
      </w:r>
      <w:r w:rsidRPr="007266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202</w:t>
      </w:r>
      <w:r w:rsidR="006A77C5">
        <w:rPr>
          <w:rFonts w:asciiTheme="minorHAnsi" w:hAnsiTheme="minorHAnsi" w:cstheme="minorHAnsi"/>
          <w:b/>
          <w:sz w:val="24"/>
          <w:szCs w:val="24"/>
        </w:rPr>
        <w:t>2</w:t>
      </w:r>
    </w:p>
    <w:p w14:paraId="2B37096D" w14:textId="7971617A" w:rsidR="0023041D" w:rsidRDefault="0023041D" w:rsidP="008F59BE">
      <w:pPr>
        <w:spacing w:after="60" w:line="276" w:lineRule="auto"/>
        <w:ind w:left="618" w:right="12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57F15" w14:textId="3CEF9575" w:rsidR="0023041D" w:rsidRDefault="006A77C5" w:rsidP="008F59BE">
      <w:pPr>
        <w:spacing w:after="60" w:line="276" w:lineRule="auto"/>
        <w:ind w:left="618" w:right="12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77C5">
        <w:rPr>
          <w:rFonts w:asciiTheme="minorHAnsi" w:hAnsiTheme="minorHAnsi" w:cstheme="minorHAnsi"/>
          <w:b/>
          <w:sz w:val="24"/>
          <w:szCs w:val="24"/>
        </w:rPr>
        <w:t>Podpora národního olympijského výboru k zajištění účasti na ZOH 2022</w:t>
      </w:r>
    </w:p>
    <w:p w14:paraId="05F64774" w14:textId="77777777" w:rsidR="0023041D" w:rsidRPr="007266F7" w:rsidRDefault="0023041D" w:rsidP="008F59BE">
      <w:pPr>
        <w:spacing w:after="60" w:line="276" w:lineRule="auto"/>
        <w:ind w:left="618" w:right="12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F56C41" w14:textId="45E6DF50" w:rsidR="00974601" w:rsidRPr="007266F7" w:rsidRDefault="002A23F7" w:rsidP="006F421E">
      <w:pPr>
        <w:pStyle w:val="Nadpis1"/>
        <w:spacing w:after="120" w:line="276" w:lineRule="auto"/>
        <w:rPr>
          <w:rFonts w:asciiTheme="minorHAnsi" w:hAnsiTheme="minorHAnsi" w:cstheme="minorHAnsi"/>
        </w:rPr>
      </w:pPr>
      <w:r w:rsidRPr="007266F7">
        <w:rPr>
          <w:rFonts w:asciiTheme="minorHAnsi" w:hAnsiTheme="minorHAnsi" w:cstheme="minorHAnsi"/>
        </w:rPr>
        <w:t>NÁLEŽITOSTI</w:t>
      </w:r>
      <w:r w:rsidRPr="007266F7">
        <w:rPr>
          <w:rFonts w:asciiTheme="minorHAnsi" w:hAnsiTheme="minorHAnsi" w:cstheme="minorHAnsi"/>
          <w:spacing w:val="-3"/>
        </w:rPr>
        <w:t xml:space="preserve"> </w:t>
      </w:r>
      <w:r w:rsidRPr="007266F7">
        <w:rPr>
          <w:rFonts w:asciiTheme="minorHAnsi" w:hAnsiTheme="minorHAnsi" w:cstheme="minorHAnsi"/>
        </w:rPr>
        <w:t>VYÚČTOVÁNÍ</w:t>
      </w:r>
    </w:p>
    <w:p w14:paraId="11F56C44" w14:textId="78F7377A" w:rsidR="00974601" w:rsidRPr="007266F7" w:rsidRDefault="002A23F7" w:rsidP="007266F7">
      <w:pPr>
        <w:pStyle w:val="Zkladntext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 w:rsidRPr="007266F7">
        <w:rPr>
          <w:rFonts w:asciiTheme="minorHAnsi" w:hAnsiTheme="minorHAnsi" w:cstheme="minorHAnsi"/>
        </w:rPr>
        <w:t>Vyúčtování</w:t>
      </w:r>
      <w:r w:rsidRPr="007266F7">
        <w:rPr>
          <w:rFonts w:asciiTheme="minorHAnsi" w:hAnsiTheme="minorHAnsi" w:cstheme="minorHAnsi"/>
          <w:spacing w:val="-5"/>
        </w:rPr>
        <w:t xml:space="preserve"> </w:t>
      </w:r>
      <w:r w:rsidRPr="007266F7">
        <w:rPr>
          <w:rFonts w:asciiTheme="minorHAnsi" w:hAnsiTheme="minorHAnsi" w:cstheme="minorHAnsi"/>
        </w:rPr>
        <w:t>musí</w:t>
      </w:r>
      <w:r w:rsidRPr="007266F7">
        <w:rPr>
          <w:rFonts w:asciiTheme="minorHAnsi" w:hAnsiTheme="minorHAnsi" w:cstheme="minorHAnsi"/>
          <w:spacing w:val="-5"/>
        </w:rPr>
        <w:t xml:space="preserve"> </w:t>
      </w:r>
      <w:r w:rsidRPr="007266F7">
        <w:rPr>
          <w:rFonts w:asciiTheme="minorHAnsi" w:hAnsiTheme="minorHAnsi" w:cstheme="minorHAnsi"/>
        </w:rPr>
        <w:t>obsahovat</w:t>
      </w:r>
      <w:r w:rsidRPr="007266F7">
        <w:rPr>
          <w:rFonts w:asciiTheme="minorHAnsi" w:hAnsiTheme="minorHAnsi" w:cstheme="minorHAnsi"/>
          <w:spacing w:val="-2"/>
        </w:rPr>
        <w:t xml:space="preserve"> </w:t>
      </w:r>
      <w:r w:rsidRPr="007266F7">
        <w:rPr>
          <w:rFonts w:asciiTheme="minorHAnsi" w:hAnsiTheme="minorHAnsi" w:cstheme="minorHAnsi"/>
        </w:rPr>
        <w:t>všechny</w:t>
      </w:r>
      <w:r w:rsidRPr="007266F7">
        <w:rPr>
          <w:rFonts w:asciiTheme="minorHAnsi" w:hAnsiTheme="minorHAnsi" w:cstheme="minorHAnsi"/>
          <w:spacing w:val="-3"/>
        </w:rPr>
        <w:t xml:space="preserve"> </w:t>
      </w:r>
      <w:r w:rsidRPr="007266F7">
        <w:rPr>
          <w:rFonts w:asciiTheme="minorHAnsi" w:hAnsiTheme="minorHAnsi" w:cstheme="minorHAnsi"/>
          <w:b/>
        </w:rPr>
        <w:t>povinné</w:t>
      </w:r>
      <w:r w:rsidRPr="007266F7">
        <w:rPr>
          <w:rFonts w:asciiTheme="minorHAnsi" w:hAnsiTheme="minorHAnsi" w:cstheme="minorHAnsi"/>
          <w:b/>
          <w:spacing w:val="-2"/>
        </w:rPr>
        <w:t xml:space="preserve"> </w:t>
      </w:r>
      <w:r w:rsidRPr="007266F7">
        <w:rPr>
          <w:rFonts w:asciiTheme="minorHAnsi" w:hAnsiTheme="minorHAnsi" w:cstheme="minorHAnsi"/>
        </w:rPr>
        <w:t>dokumenty</w:t>
      </w:r>
      <w:r w:rsidRPr="007266F7">
        <w:rPr>
          <w:rFonts w:asciiTheme="minorHAnsi" w:hAnsiTheme="minorHAnsi" w:cstheme="minorHAnsi"/>
          <w:spacing w:val="-3"/>
        </w:rPr>
        <w:t xml:space="preserve"> </w:t>
      </w:r>
      <w:r w:rsidRPr="007266F7">
        <w:rPr>
          <w:rFonts w:asciiTheme="minorHAnsi" w:hAnsiTheme="minorHAnsi" w:cstheme="minorHAnsi"/>
        </w:rPr>
        <w:t>vyúčtování:</w:t>
      </w:r>
    </w:p>
    <w:p w14:paraId="11F56C45" w14:textId="0B2397F4" w:rsidR="00974601" w:rsidRPr="007266F7" w:rsidRDefault="002A23F7" w:rsidP="007266F7">
      <w:pPr>
        <w:pStyle w:val="Odstavecseseznamem"/>
        <w:numPr>
          <w:ilvl w:val="0"/>
          <w:numId w:val="10"/>
        </w:numPr>
        <w:tabs>
          <w:tab w:val="left" w:pos="822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Vyúčtování</w:t>
      </w:r>
      <w:r w:rsidRPr="007266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dotace</w:t>
      </w:r>
      <w:r w:rsidRPr="007266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za</w:t>
      </w:r>
      <w:r w:rsidRPr="007266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rok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202</w:t>
      </w:r>
      <w:r w:rsidR="006A77C5">
        <w:rPr>
          <w:rFonts w:asciiTheme="minorHAnsi" w:hAnsiTheme="minorHAnsi" w:cstheme="minorHAnsi"/>
          <w:sz w:val="24"/>
          <w:szCs w:val="24"/>
        </w:rPr>
        <w:t>2</w:t>
      </w:r>
      <w:r w:rsidR="00232B03" w:rsidRPr="007266F7">
        <w:rPr>
          <w:rFonts w:asciiTheme="minorHAnsi" w:hAnsiTheme="minorHAnsi" w:cstheme="minorHAnsi"/>
          <w:sz w:val="24"/>
          <w:szCs w:val="24"/>
        </w:rPr>
        <w:t xml:space="preserve"> – vše je v jednom excelovském souboru s názvem: </w:t>
      </w:r>
      <w:r w:rsidR="00CC2874" w:rsidRPr="007266F7">
        <w:rPr>
          <w:rFonts w:asciiTheme="minorHAnsi" w:hAnsiTheme="minorHAnsi" w:cstheme="minorHAnsi"/>
          <w:sz w:val="24"/>
          <w:szCs w:val="24"/>
        </w:rPr>
        <w:t>„</w:t>
      </w:r>
      <w:r w:rsidR="00CC2874" w:rsidRPr="007266F7">
        <w:rPr>
          <w:rFonts w:asciiTheme="minorHAnsi" w:hAnsiTheme="minorHAnsi" w:cstheme="minorHAnsi"/>
          <w:b/>
          <w:bCs/>
          <w:sz w:val="24"/>
          <w:szCs w:val="24"/>
        </w:rPr>
        <w:t>VYÚČTOVÁNÍ 2021“</w:t>
      </w:r>
    </w:p>
    <w:p w14:paraId="6DF747C0" w14:textId="68D6A99A" w:rsidR="00CC2874" w:rsidRPr="007266F7" w:rsidRDefault="00A873CA" w:rsidP="007266F7">
      <w:pPr>
        <w:pStyle w:val="Odstavecseseznamem"/>
        <w:tabs>
          <w:tab w:val="left" w:pos="822"/>
        </w:tabs>
        <w:spacing w:after="120" w:line="276" w:lineRule="auto"/>
        <w:ind w:firstLine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266F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SOUBOR OBSAHUJE </w:t>
      </w:r>
      <w:r w:rsidRPr="00976AFA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NÁSLEDUJÍCÍ LISTY</w:t>
      </w:r>
      <w:r w:rsidRPr="007266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11F56C46" w14:textId="358323DE" w:rsidR="00974601" w:rsidRPr="007266F7" w:rsidRDefault="00826665" w:rsidP="00305EA8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SOHRNNÉ INFORMACE</w:t>
      </w:r>
      <w:r w:rsidR="002A23F7" w:rsidRPr="007266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– povinně vyplnit</w:t>
      </w:r>
    </w:p>
    <w:p w14:paraId="11F56C47" w14:textId="30238AFF" w:rsidR="00974601" w:rsidRPr="006A5E33" w:rsidRDefault="00826665" w:rsidP="00305EA8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POUŽITÍ DOTACE</w:t>
      </w:r>
      <w:r w:rsidR="00E74FFA">
        <w:rPr>
          <w:rFonts w:asciiTheme="minorHAnsi" w:hAnsiTheme="minorHAnsi" w:cstheme="minorHAnsi"/>
          <w:sz w:val="24"/>
          <w:szCs w:val="24"/>
        </w:rPr>
        <w:t xml:space="preserve">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– povinně vyplnit</w:t>
      </w:r>
    </w:p>
    <w:p w14:paraId="7D4105BE" w14:textId="012CD63D" w:rsidR="00826665" w:rsidRPr="00E74FFA" w:rsidRDefault="00826665" w:rsidP="006A5E33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Finanční</w:t>
      </w:r>
      <w:r w:rsidRPr="006A5E33">
        <w:rPr>
          <w:rFonts w:asciiTheme="minorHAnsi" w:hAnsiTheme="minorHAnsi" w:cstheme="minorHAnsi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vypořádání</w:t>
      </w:r>
      <w:r w:rsidRPr="006A5E33">
        <w:rPr>
          <w:rFonts w:asciiTheme="minorHAnsi" w:hAnsiTheme="minorHAnsi" w:cstheme="minorHAnsi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dotací</w:t>
      </w:r>
      <w:r w:rsidRPr="006A5E33">
        <w:rPr>
          <w:rFonts w:asciiTheme="minorHAnsi" w:hAnsiTheme="minorHAnsi" w:cstheme="minorHAnsi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se</w:t>
      </w:r>
      <w:r w:rsidRPr="006A5E33">
        <w:rPr>
          <w:rFonts w:asciiTheme="minorHAnsi" w:hAnsiTheme="minorHAnsi" w:cstheme="minorHAnsi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státním</w:t>
      </w:r>
      <w:r w:rsidRPr="006A5E33">
        <w:rPr>
          <w:rFonts w:asciiTheme="minorHAnsi" w:hAnsiTheme="minorHAnsi" w:cstheme="minorHAnsi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rozpočtem</w:t>
      </w:r>
      <w:r w:rsidR="00E74FFA">
        <w:rPr>
          <w:rFonts w:asciiTheme="minorHAnsi" w:hAnsiTheme="minorHAnsi" w:cstheme="minorHAnsi"/>
          <w:sz w:val="24"/>
          <w:szCs w:val="24"/>
        </w:rPr>
        <w:t xml:space="preserve"> </w:t>
      </w:r>
      <w:r w:rsidR="00E74FFA" w:rsidRPr="006A5E33">
        <w:rPr>
          <w:rFonts w:asciiTheme="minorHAnsi" w:hAnsiTheme="minorHAnsi" w:cstheme="minorHAnsi"/>
          <w:sz w:val="24"/>
          <w:szCs w:val="24"/>
        </w:rPr>
        <w:t>(je navedeno z jiných listů, nemusí příjemce vyplňovat – prosíme o kontrolu)</w:t>
      </w:r>
    </w:p>
    <w:p w14:paraId="11F56C49" w14:textId="4D107A74" w:rsidR="00974601" w:rsidRPr="007266F7" w:rsidRDefault="00F16E85" w:rsidP="00305EA8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Naplnění účelu dotace</w:t>
      </w:r>
      <w:r w:rsidR="00E74FFA">
        <w:rPr>
          <w:rFonts w:asciiTheme="minorHAnsi" w:hAnsiTheme="minorHAnsi" w:cstheme="minorHAnsi"/>
          <w:sz w:val="24"/>
          <w:szCs w:val="24"/>
        </w:rPr>
        <w:t xml:space="preserve">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– povinně vyplnit</w:t>
      </w:r>
    </w:p>
    <w:p w14:paraId="5332D703" w14:textId="764CD47A" w:rsidR="00232B03" w:rsidRDefault="00232B03" w:rsidP="00305EA8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MZDY, DPP, DPČ, odvody</w:t>
      </w:r>
      <w:r w:rsidR="00E74FFA">
        <w:rPr>
          <w:rFonts w:asciiTheme="minorHAnsi" w:hAnsiTheme="minorHAnsi" w:cstheme="minorHAnsi"/>
          <w:sz w:val="24"/>
          <w:szCs w:val="24"/>
        </w:rPr>
        <w:t xml:space="preserve">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– povinně vyplnit</w:t>
      </w:r>
      <w:r w:rsid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v případě, že příjemce uplatňuje ve vyúčtování osobní náklady</w:t>
      </w:r>
    </w:p>
    <w:p w14:paraId="35EC1ACE" w14:textId="5EBC5CF7" w:rsidR="00E74FFA" w:rsidRPr="00E74FFA" w:rsidRDefault="00E74FFA" w:rsidP="00E74FFA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OSVČ (příkazní či smlouva o spolupráci např. pro trenéry)</w:t>
      </w:r>
      <w:r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– povinně vyplnit</w:t>
      </w:r>
      <w:r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v případě, že příjemce uplatňuje ve vyúčtování smlouvy s trenéry, terapeuty apod.</w:t>
      </w:r>
    </w:p>
    <w:p w14:paraId="23EA6CB9" w14:textId="52D83FE7" w:rsidR="00232B03" w:rsidRPr="007266F7" w:rsidRDefault="00232B03" w:rsidP="00305EA8">
      <w:pPr>
        <w:pStyle w:val="Odstavecseseznamem"/>
        <w:numPr>
          <w:ilvl w:val="1"/>
          <w:numId w:val="1"/>
        </w:numPr>
        <w:tabs>
          <w:tab w:val="left" w:pos="119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Přehled zdrojů</w:t>
      </w:r>
      <w:r w:rsidR="00E74FFA">
        <w:rPr>
          <w:rFonts w:asciiTheme="minorHAnsi" w:hAnsiTheme="minorHAnsi" w:cstheme="minorHAnsi"/>
          <w:sz w:val="24"/>
          <w:szCs w:val="24"/>
        </w:rPr>
        <w:t xml:space="preserve">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– povinně vyplnit</w:t>
      </w:r>
    </w:p>
    <w:p w14:paraId="11F56C4C" w14:textId="4D02AAC9" w:rsidR="00974601" w:rsidRPr="007266F7" w:rsidRDefault="002A23F7" w:rsidP="00305EA8">
      <w:pPr>
        <w:pStyle w:val="Odstavecseseznamem"/>
        <w:numPr>
          <w:ilvl w:val="0"/>
          <w:numId w:val="10"/>
        </w:numPr>
        <w:tabs>
          <w:tab w:val="left" w:pos="822"/>
        </w:tabs>
        <w:spacing w:after="60" w:line="276" w:lineRule="auto"/>
        <w:ind w:right="553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Výsledovka</w:t>
      </w:r>
      <w:r w:rsidRPr="007266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74722D" w:rsidRPr="007266F7">
        <w:rPr>
          <w:rFonts w:asciiTheme="minorHAnsi" w:hAnsiTheme="minorHAnsi" w:cstheme="minorHAnsi"/>
          <w:spacing w:val="-8"/>
          <w:sz w:val="24"/>
          <w:szCs w:val="24"/>
        </w:rPr>
        <w:t xml:space="preserve">dotace (dle oddělené evidence)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– povinně </w:t>
      </w:r>
      <w:r w:rsid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přiložit</w:t>
      </w:r>
    </w:p>
    <w:p w14:paraId="11F56C4D" w14:textId="5E1550C0" w:rsidR="00974601" w:rsidRPr="007266F7" w:rsidRDefault="002A23F7" w:rsidP="00305EA8">
      <w:pPr>
        <w:pStyle w:val="Odstavecseseznamem"/>
        <w:numPr>
          <w:ilvl w:val="0"/>
          <w:numId w:val="10"/>
        </w:numPr>
        <w:tabs>
          <w:tab w:val="left" w:pos="822"/>
        </w:tabs>
        <w:spacing w:after="60" w:line="276" w:lineRule="auto"/>
        <w:ind w:right="555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Účetní</w:t>
      </w:r>
      <w:r w:rsidRPr="007266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sestava</w:t>
      </w:r>
      <w:r w:rsidRPr="007266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jednotlivých</w:t>
      </w:r>
      <w:r w:rsidRPr="007266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dokladů</w:t>
      </w:r>
      <w:r w:rsidRPr="007266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hrazených</w:t>
      </w:r>
      <w:r w:rsidRPr="007266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z</w:t>
      </w:r>
      <w:r w:rsidRPr="007266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dotace</w:t>
      </w:r>
      <w:r w:rsidRPr="007266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(ze</w:t>
      </w:r>
      <w:r w:rsidRPr="007266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sestavy</w:t>
      </w:r>
      <w:r w:rsidRPr="007266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musí</w:t>
      </w:r>
      <w:r w:rsidRPr="007266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být</w:t>
      </w:r>
      <w:r w:rsidRPr="007266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zřejmá</w:t>
      </w:r>
      <w:r w:rsidRPr="007266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výše</w:t>
      </w:r>
      <w:r w:rsidRPr="007266F7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jednotlivých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druhů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nákladů,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na</w:t>
      </w:r>
      <w:r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jejichž</w:t>
      </w:r>
      <w:r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úhradu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byla dotace</w:t>
      </w:r>
      <w:r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čerpána)</w:t>
      </w:r>
      <w:r w:rsidR="00E74FFA">
        <w:rPr>
          <w:rFonts w:asciiTheme="minorHAnsi" w:hAnsiTheme="minorHAnsi" w:cstheme="minorHAnsi"/>
          <w:sz w:val="24"/>
          <w:szCs w:val="24"/>
        </w:rPr>
        <w:t xml:space="preserve"> </w:t>
      </w:r>
      <w:r w:rsidR="00E74FFA" w:rsidRP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– povinně </w:t>
      </w:r>
      <w:r w:rsidR="00E74FFA">
        <w:rPr>
          <w:rFonts w:asciiTheme="minorHAnsi" w:hAnsiTheme="minorHAnsi" w:cstheme="minorHAnsi"/>
          <w:color w:val="FF0000"/>
          <w:spacing w:val="-4"/>
          <w:sz w:val="24"/>
          <w:szCs w:val="24"/>
        </w:rPr>
        <w:t>přiložit</w:t>
      </w:r>
    </w:p>
    <w:p w14:paraId="11F56C4E" w14:textId="77777777" w:rsidR="00974601" w:rsidRPr="007266F7" w:rsidRDefault="00974601" w:rsidP="007266F7">
      <w:pPr>
        <w:pStyle w:val="Zkladntext"/>
        <w:spacing w:after="120" w:line="276" w:lineRule="auto"/>
        <w:rPr>
          <w:rFonts w:asciiTheme="minorHAnsi" w:hAnsiTheme="minorHAnsi" w:cstheme="minorHAnsi"/>
        </w:rPr>
      </w:pPr>
    </w:p>
    <w:p w14:paraId="11F56C4F" w14:textId="134AA828" w:rsidR="00974601" w:rsidRPr="007266F7" w:rsidRDefault="002A23F7" w:rsidP="007266F7">
      <w:pPr>
        <w:pStyle w:val="Zkladntext"/>
        <w:spacing w:after="120" w:line="276" w:lineRule="auto"/>
        <w:ind w:left="101" w:right="553"/>
        <w:jc w:val="both"/>
        <w:rPr>
          <w:rFonts w:asciiTheme="minorHAnsi" w:hAnsiTheme="minorHAnsi" w:cstheme="minorHAnsi"/>
        </w:rPr>
      </w:pPr>
      <w:r w:rsidRPr="007266F7">
        <w:rPr>
          <w:rFonts w:asciiTheme="minorHAnsi" w:hAnsiTheme="minorHAnsi" w:cstheme="minorHAnsi"/>
        </w:rPr>
        <w:t>Vyúčtování musí dále obsahovat údaj o případném nečerpání finančních prostředků, včetně</w:t>
      </w:r>
      <w:r w:rsidRPr="007266F7">
        <w:rPr>
          <w:rFonts w:asciiTheme="minorHAnsi" w:hAnsiTheme="minorHAnsi" w:cstheme="minorHAnsi"/>
          <w:spacing w:val="1"/>
        </w:rPr>
        <w:t xml:space="preserve"> </w:t>
      </w:r>
      <w:r w:rsidRPr="007266F7">
        <w:rPr>
          <w:rFonts w:asciiTheme="minorHAnsi" w:hAnsiTheme="minorHAnsi" w:cstheme="minorHAnsi"/>
          <w:b/>
          <w:bCs/>
        </w:rPr>
        <w:t>zdůvodnění, objemu a termínu vratky</w:t>
      </w:r>
      <w:r w:rsidR="00324817" w:rsidRPr="007266F7">
        <w:rPr>
          <w:rFonts w:asciiTheme="minorHAnsi" w:hAnsiTheme="minorHAnsi" w:cstheme="minorHAnsi"/>
        </w:rPr>
        <w:t xml:space="preserve"> (je součástí excelovského souboru – </w:t>
      </w:r>
      <w:r w:rsidR="00324817" w:rsidRPr="007266F7">
        <w:rPr>
          <w:rFonts w:asciiTheme="minorHAnsi" w:hAnsiTheme="minorHAnsi" w:cstheme="minorHAnsi"/>
          <w:highlight w:val="cyan"/>
        </w:rPr>
        <w:t>list „2. POUŽITÍ DOTACE</w:t>
      </w:r>
      <w:r w:rsidR="00324817" w:rsidRPr="007266F7">
        <w:rPr>
          <w:rFonts w:asciiTheme="minorHAnsi" w:hAnsiTheme="minorHAnsi" w:cstheme="minorHAnsi"/>
        </w:rPr>
        <w:t>“)</w:t>
      </w:r>
      <w:r w:rsidRPr="007266F7">
        <w:rPr>
          <w:rFonts w:asciiTheme="minorHAnsi" w:hAnsiTheme="minorHAnsi" w:cstheme="minorHAnsi"/>
        </w:rPr>
        <w:t xml:space="preserve">. Vratce předchází informace zaslaná na </w:t>
      </w:r>
      <w:r w:rsidR="0074722D" w:rsidRPr="007266F7">
        <w:rPr>
          <w:rFonts w:asciiTheme="minorHAnsi" w:hAnsiTheme="minorHAnsi" w:cstheme="minorHAnsi"/>
        </w:rPr>
        <w:t>NSA</w:t>
      </w:r>
      <w:r w:rsidRPr="007266F7">
        <w:rPr>
          <w:rFonts w:asciiTheme="minorHAnsi" w:hAnsiTheme="minorHAnsi" w:cstheme="minorHAnsi"/>
        </w:rPr>
        <w:t xml:space="preserve"> formou</w:t>
      </w:r>
      <w:r w:rsidRPr="007266F7">
        <w:rPr>
          <w:rFonts w:asciiTheme="minorHAnsi" w:hAnsiTheme="minorHAnsi" w:cstheme="minorHAnsi"/>
          <w:spacing w:val="1"/>
        </w:rPr>
        <w:t xml:space="preserve"> </w:t>
      </w:r>
      <w:r w:rsidRPr="007266F7">
        <w:rPr>
          <w:rFonts w:asciiTheme="minorHAnsi" w:hAnsiTheme="minorHAnsi" w:cstheme="minorHAnsi"/>
        </w:rPr>
        <w:t>avíza</w:t>
      </w:r>
      <w:r w:rsidRPr="007266F7">
        <w:rPr>
          <w:rFonts w:asciiTheme="minorHAnsi" w:hAnsiTheme="minorHAnsi" w:cstheme="minorHAnsi"/>
          <w:spacing w:val="-1"/>
        </w:rPr>
        <w:t xml:space="preserve"> </w:t>
      </w:r>
      <w:r w:rsidRPr="007266F7">
        <w:rPr>
          <w:rFonts w:asciiTheme="minorHAnsi" w:hAnsiTheme="minorHAnsi" w:cstheme="minorHAnsi"/>
        </w:rPr>
        <w:t>(pro</w:t>
      </w:r>
      <w:r w:rsidRPr="007266F7">
        <w:rPr>
          <w:rFonts w:asciiTheme="minorHAnsi" w:hAnsiTheme="minorHAnsi" w:cstheme="minorHAnsi"/>
          <w:spacing w:val="-2"/>
        </w:rPr>
        <w:t xml:space="preserve"> </w:t>
      </w:r>
      <w:r w:rsidRPr="007266F7">
        <w:rPr>
          <w:rFonts w:asciiTheme="minorHAnsi" w:hAnsiTheme="minorHAnsi" w:cstheme="minorHAnsi"/>
        </w:rPr>
        <w:t>více informací</w:t>
      </w:r>
      <w:r w:rsidRPr="007266F7">
        <w:rPr>
          <w:rFonts w:asciiTheme="minorHAnsi" w:hAnsiTheme="minorHAnsi" w:cstheme="minorHAnsi"/>
          <w:spacing w:val="-2"/>
        </w:rPr>
        <w:t xml:space="preserve"> </w:t>
      </w:r>
      <w:r w:rsidRPr="007266F7">
        <w:rPr>
          <w:rFonts w:asciiTheme="minorHAnsi" w:hAnsiTheme="minorHAnsi" w:cstheme="minorHAnsi"/>
        </w:rPr>
        <w:t>viz</w:t>
      </w:r>
      <w:r w:rsidRPr="007266F7">
        <w:rPr>
          <w:rFonts w:asciiTheme="minorHAnsi" w:hAnsiTheme="minorHAnsi" w:cstheme="minorHAnsi"/>
          <w:spacing w:val="4"/>
        </w:rPr>
        <w:t xml:space="preserve"> </w:t>
      </w:r>
      <w:r w:rsidRPr="007266F7">
        <w:rPr>
          <w:rFonts w:asciiTheme="minorHAnsi" w:hAnsiTheme="minorHAnsi" w:cstheme="minorHAnsi"/>
        </w:rPr>
        <w:t>Rozhodnutí</w:t>
      </w:r>
      <w:r w:rsidRPr="007266F7">
        <w:rPr>
          <w:rFonts w:asciiTheme="minorHAnsi" w:hAnsiTheme="minorHAnsi" w:cstheme="minorHAnsi"/>
          <w:spacing w:val="-2"/>
        </w:rPr>
        <w:t xml:space="preserve"> </w:t>
      </w:r>
      <w:r w:rsidRPr="007266F7">
        <w:rPr>
          <w:rFonts w:asciiTheme="minorHAnsi" w:hAnsiTheme="minorHAnsi" w:cstheme="minorHAnsi"/>
        </w:rPr>
        <w:t>o</w:t>
      </w:r>
      <w:r w:rsidRPr="007266F7">
        <w:rPr>
          <w:rFonts w:asciiTheme="minorHAnsi" w:hAnsiTheme="minorHAnsi" w:cstheme="minorHAnsi"/>
          <w:spacing w:val="1"/>
        </w:rPr>
        <w:t xml:space="preserve"> </w:t>
      </w:r>
      <w:r w:rsidRPr="007266F7">
        <w:rPr>
          <w:rFonts w:asciiTheme="minorHAnsi" w:hAnsiTheme="minorHAnsi" w:cstheme="minorHAnsi"/>
        </w:rPr>
        <w:t>poskytnutí</w:t>
      </w:r>
      <w:r w:rsidRPr="007266F7">
        <w:rPr>
          <w:rFonts w:asciiTheme="minorHAnsi" w:hAnsiTheme="minorHAnsi" w:cstheme="minorHAnsi"/>
          <w:spacing w:val="-2"/>
        </w:rPr>
        <w:t xml:space="preserve"> </w:t>
      </w:r>
      <w:r w:rsidRPr="007266F7">
        <w:rPr>
          <w:rFonts w:asciiTheme="minorHAnsi" w:hAnsiTheme="minorHAnsi" w:cstheme="minorHAnsi"/>
        </w:rPr>
        <w:t>dotace).</w:t>
      </w:r>
    </w:p>
    <w:p w14:paraId="6C2B713D" w14:textId="77777777" w:rsidR="00DB0789" w:rsidRDefault="00DB0789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  <w:spacing w:val="-1"/>
        </w:rPr>
      </w:pPr>
    </w:p>
    <w:p w14:paraId="083ACED0" w14:textId="77777777" w:rsidR="00DB0789" w:rsidRDefault="00DB0789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  <w:spacing w:val="-1"/>
        </w:rPr>
      </w:pPr>
    </w:p>
    <w:p w14:paraId="0FECABB6" w14:textId="77777777" w:rsidR="00DB0789" w:rsidRDefault="00DB0789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  <w:spacing w:val="-1"/>
        </w:rPr>
      </w:pPr>
    </w:p>
    <w:p w14:paraId="3A9E8F23" w14:textId="77777777" w:rsidR="00DB0789" w:rsidRDefault="00DB0789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  <w:spacing w:val="-1"/>
        </w:rPr>
      </w:pPr>
    </w:p>
    <w:p w14:paraId="670E3B7D" w14:textId="77777777" w:rsidR="00DB0789" w:rsidRDefault="00DB0789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  <w:spacing w:val="-1"/>
        </w:rPr>
      </w:pPr>
    </w:p>
    <w:p w14:paraId="1A4B702D" w14:textId="77777777" w:rsidR="00DB0789" w:rsidRDefault="00DB0789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  <w:spacing w:val="-1"/>
        </w:rPr>
      </w:pPr>
    </w:p>
    <w:p w14:paraId="11F56C51" w14:textId="280D1E2D" w:rsidR="00974601" w:rsidRPr="007266F7" w:rsidRDefault="002A23F7" w:rsidP="00E64A5A">
      <w:pPr>
        <w:pStyle w:val="Zkladntext"/>
        <w:spacing w:after="120" w:line="276" w:lineRule="auto"/>
        <w:ind w:left="101"/>
        <w:rPr>
          <w:rFonts w:asciiTheme="minorHAnsi" w:hAnsiTheme="minorHAnsi" w:cstheme="minorHAnsi"/>
        </w:rPr>
      </w:pPr>
      <w:r w:rsidRPr="007266F7">
        <w:rPr>
          <w:rFonts w:asciiTheme="minorHAnsi" w:hAnsiTheme="minorHAnsi" w:cstheme="minorHAnsi"/>
          <w:spacing w:val="-1"/>
        </w:rPr>
        <w:lastRenderedPageBreak/>
        <w:t>Všechny</w:t>
      </w:r>
      <w:r w:rsidRPr="007266F7">
        <w:rPr>
          <w:rFonts w:asciiTheme="minorHAnsi" w:hAnsiTheme="minorHAnsi" w:cstheme="minorHAnsi"/>
          <w:spacing w:val="-13"/>
        </w:rPr>
        <w:t xml:space="preserve"> </w:t>
      </w:r>
      <w:r w:rsidRPr="007266F7">
        <w:rPr>
          <w:rFonts w:asciiTheme="minorHAnsi" w:hAnsiTheme="minorHAnsi" w:cstheme="minorHAnsi"/>
          <w:spacing w:val="-1"/>
        </w:rPr>
        <w:t>povinné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  <w:spacing w:val="-1"/>
        </w:rPr>
        <w:t>dokumenty</w:t>
      </w:r>
      <w:r w:rsidRPr="007266F7">
        <w:rPr>
          <w:rFonts w:asciiTheme="minorHAnsi" w:hAnsiTheme="minorHAnsi" w:cstheme="minorHAnsi"/>
          <w:spacing w:val="-7"/>
        </w:rPr>
        <w:t xml:space="preserve"> </w:t>
      </w:r>
      <w:r w:rsidRPr="007266F7">
        <w:rPr>
          <w:rFonts w:asciiTheme="minorHAnsi" w:hAnsiTheme="minorHAnsi" w:cstheme="minorHAnsi"/>
          <w:spacing w:val="-1"/>
        </w:rPr>
        <w:t>k</w:t>
      </w:r>
      <w:r w:rsidRPr="007266F7">
        <w:rPr>
          <w:rFonts w:asciiTheme="minorHAnsi" w:hAnsiTheme="minorHAnsi" w:cstheme="minorHAnsi"/>
          <w:spacing w:val="-2"/>
        </w:rPr>
        <w:t xml:space="preserve"> </w:t>
      </w:r>
      <w:r w:rsidRPr="007266F7">
        <w:rPr>
          <w:rFonts w:asciiTheme="minorHAnsi" w:hAnsiTheme="minorHAnsi" w:cstheme="minorHAnsi"/>
          <w:spacing w:val="-1"/>
        </w:rPr>
        <w:t>vyúčtování</w:t>
      </w:r>
      <w:r w:rsidRPr="007266F7">
        <w:rPr>
          <w:rFonts w:asciiTheme="minorHAnsi" w:hAnsiTheme="minorHAnsi" w:cstheme="minorHAnsi"/>
          <w:spacing w:val="-11"/>
        </w:rPr>
        <w:t xml:space="preserve"> </w:t>
      </w:r>
      <w:r w:rsidRPr="007266F7">
        <w:rPr>
          <w:rFonts w:asciiTheme="minorHAnsi" w:hAnsiTheme="minorHAnsi" w:cstheme="minorHAnsi"/>
        </w:rPr>
        <w:t>a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</w:rPr>
        <w:t>finančnímu</w:t>
      </w:r>
      <w:r w:rsidRPr="007266F7">
        <w:rPr>
          <w:rFonts w:asciiTheme="minorHAnsi" w:hAnsiTheme="minorHAnsi" w:cstheme="minorHAnsi"/>
          <w:spacing w:val="-8"/>
        </w:rPr>
        <w:t xml:space="preserve"> </w:t>
      </w:r>
      <w:r w:rsidRPr="007266F7">
        <w:rPr>
          <w:rFonts w:asciiTheme="minorHAnsi" w:hAnsiTheme="minorHAnsi" w:cstheme="minorHAnsi"/>
        </w:rPr>
        <w:t>vypořádání</w:t>
      </w:r>
      <w:r w:rsidRPr="007266F7">
        <w:rPr>
          <w:rFonts w:asciiTheme="minorHAnsi" w:hAnsiTheme="minorHAnsi" w:cstheme="minorHAnsi"/>
          <w:spacing w:val="-10"/>
        </w:rPr>
        <w:t xml:space="preserve"> </w:t>
      </w:r>
      <w:r w:rsidRPr="007266F7">
        <w:rPr>
          <w:rFonts w:asciiTheme="minorHAnsi" w:hAnsiTheme="minorHAnsi" w:cstheme="minorHAnsi"/>
        </w:rPr>
        <w:t>musí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</w:rPr>
        <w:t>příjemce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</w:rPr>
        <w:t>nejpozději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</w:rPr>
        <w:t>do</w:t>
      </w:r>
    </w:p>
    <w:p w14:paraId="11F56C54" w14:textId="67E7C9C0" w:rsidR="00974601" w:rsidRPr="00E64A5A" w:rsidRDefault="00DB0789" w:rsidP="00E64A5A">
      <w:pPr>
        <w:pStyle w:val="Nadpis1"/>
        <w:spacing w:after="120"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30</w:t>
      </w:r>
      <w:r w:rsidR="002A23F7" w:rsidRPr="007266F7">
        <w:rPr>
          <w:rFonts w:asciiTheme="minorHAnsi" w:hAnsiTheme="minorHAnsi" w:cstheme="minorHAnsi"/>
        </w:rPr>
        <w:t>.</w:t>
      </w:r>
      <w:r w:rsidR="002A23F7" w:rsidRPr="007266F7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9</w:t>
      </w:r>
      <w:r w:rsidR="002A23F7" w:rsidRPr="007266F7">
        <w:rPr>
          <w:rFonts w:asciiTheme="minorHAnsi" w:hAnsiTheme="minorHAnsi" w:cstheme="minorHAnsi"/>
        </w:rPr>
        <w:t>.</w:t>
      </w:r>
      <w:r w:rsidR="002A23F7" w:rsidRPr="007266F7">
        <w:rPr>
          <w:rFonts w:asciiTheme="minorHAnsi" w:hAnsiTheme="minorHAnsi" w:cstheme="minorHAnsi"/>
          <w:spacing w:val="-1"/>
        </w:rPr>
        <w:t xml:space="preserve"> </w:t>
      </w:r>
      <w:r w:rsidR="002A23F7" w:rsidRPr="007266F7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="00E64A5A">
        <w:rPr>
          <w:rFonts w:asciiTheme="minorHAnsi" w:hAnsiTheme="minorHAnsi" w:cstheme="minorHAnsi"/>
          <w:b w:val="0"/>
        </w:rPr>
        <w:t xml:space="preserve"> </w:t>
      </w:r>
      <w:r w:rsidR="002A23F7" w:rsidRPr="00E64A5A">
        <w:rPr>
          <w:rFonts w:asciiTheme="minorHAnsi" w:hAnsiTheme="minorHAnsi" w:cstheme="minorHAnsi"/>
        </w:rPr>
        <w:t>podat:</w:t>
      </w:r>
    </w:p>
    <w:p w14:paraId="3294E6EC" w14:textId="25A1C0B6" w:rsidR="009A1391" w:rsidRPr="007266F7" w:rsidRDefault="009A1391" w:rsidP="00E64A5A">
      <w:pPr>
        <w:pStyle w:val="Odstavecseseznamem"/>
        <w:widowControl/>
        <w:numPr>
          <w:ilvl w:val="0"/>
          <w:numId w:val="9"/>
        </w:numPr>
        <w:autoSpaceDE/>
        <w:autoSpaceDN/>
        <w:spacing w:after="120" w:line="276" w:lineRule="auto"/>
        <w:ind w:left="709" w:right="56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66F7">
        <w:rPr>
          <w:rFonts w:asciiTheme="minorHAnsi" w:hAnsiTheme="minorHAnsi" w:cstheme="minorHAnsi"/>
          <w:b/>
          <w:sz w:val="24"/>
          <w:szCs w:val="24"/>
          <w:u w:val="single"/>
        </w:rPr>
        <w:t>Elektronicky</w:t>
      </w:r>
      <w:r w:rsidRPr="007266F7">
        <w:rPr>
          <w:rFonts w:asciiTheme="minorHAnsi" w:hAnsiTheme="minorHAnsi" w:cstheme="minorHAnsi"/>
          <w:sz w:val="24"/>
          <w:szCs w:val="24"/>
          <w:u w:val="single"/>
        </w:rPr>
        <w:t> </w:t>
      </w:r>
      <w:r w:rsidRPr="00CB450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</w:t>
      </w:r>
      <w:r w:rsidRPr="007266F7">
        <w:rPr>
          <w:rFonts w:asciiTheme="minorHAnsi" w:hAnsiTheme="minorHAnsi" w:cstheme="minorHAnsi"/>
          <w:b/>
          <w:bCs/>
          <w:sz w:val="24"/>
          <w:szCs w:val="24"/>
          <w:u w:val="single"/>
        </w:rPr>
        <w:t>datové schránky</w:t>
      </w:r>
      <w:r w:rsidRPr="007266F7">
        <w:rPr>
          <w:rFonts w:asciiTheme="minorHAnsi" w:hAnsiTheme="minorHAnsi" w:cstheme="minorHAnsi"/>
          <w:sz w:val="24"/>
          <w:szCs w:val="24"/>
        </w:rPr>
        <w:t xml:space="preserve"> poskytovatele ID </w:t>
      </w:r>
      <w:r w:rsidRPr="007266F7">
        <w:rPr>
          <w:rFonts w:asciiTheme="minorHAnsi" w:hAnsiTheme="minorHAnsi" w:cstheme="minorHAnsi"/>
          <w:b/>
          <w:bCs/>
          <w:sz w:val="24"/>
          <w:szCs w:val="24"/>
        </w:rPr>
        <w:t>vnadiz2</w:t>
      </w:r>
      <w:r w:rsidRPr="007266F7">
        <w:rPr>
          <w:rFonts w:asciiTheme="minorHAnsi" w:hAnsiTheme="minorHAnsi" w:cstheme="minorHAnsi"/>
          <w:sz w:val="24"/>
          <w:szCs w:val="24"/>
        </w:rPr>
        <w:t xml:space="preserve">. Odesílající datová schránka musí být datová schránka </w:t>
      </w:r>
      <w:r w:rsidR="00403B3A" w:rsidRPr="007266F7">
        <w:rPr>
          <w:rFonts w:asciiTheme="minorHAnsi" w:hAnsiTheme="minorHAnsi" w:cstheme="minorHAnsi"/>
          <w:sz w:val="24"/>
          <w:szCs w:val="24"/>
        </w:rPr>
        <w:t>příjemce</w:t>
      </w:r>
      <w:r w:rsidRPr="007266F7">
        <w:rPr>
          <w:rFonts w:asciiTheme="minorHAnsi" w:hAnsiTheme="minorHAnsi" w:cstheme="minorHAnsi"/>
          <w:sz w:val="24"/>
          <w:szCs w:val="24"/>
        </w:rPr>
        <w:t>. V případě doručování podepsané</w:t>
      </w:r>
      <w:r w:rsidR="00DA5D08" w:rsidRPr="007266F7">
        <w:rPr>
          <w:rFonts w:asciiTheme="minorHAnsi" w:hAnsiTheme="minorHAnsi" w:cstheme="minorHAnsi"/>
          <w:sz w:val="24"/>
          <w:szCs w:val="24"/>
        </w:rPr>
        <w:t xml:space="preserve">ho </w:t>
      </w:r>
      <w:r w:rsidR="001C301B" w:rsidRPr="007266F7">
        <w:rPr>
          <w:rFonts w:asciiTheme="minorHAnsi" w:hAnsiTheme="minorHAnsi" w:cstheme="minorHAnsi"/>
          <w:sz w:val="24"/>
          <w:szCs w:val="24"/>
        </w:rPr>
        <w:t xml:space="preserve">vyúčtování dle bodu A. 1. I. – III. </w:t>
      </w:r>
      <w:r w:rsidRPr="007266F7">
        <w:rPr>
          <w:rFonts w:asciiTheme="minorHAnsi" w:hAnsiTheme="minorHAnsi" w:cstheme="minorHAnsi"/>
          <w:sz w:val="24"/>
          <w:szCs w:val="24"/>
        </w:rPr>
        <w:t>do datové schránky, není třeba podpis/y</w:t>
      </w:r>
      <w:r w:rsidRPr="007266F7">
        <w:rPr>
          <w:rFonts w:asciiTheme="minorHAnsi" w:hAnsiTheme="minorHAnsi" w:cstheme="minorHAnsi"/>
          <w:sz w:val="24"/>
          <w:szCs w:val="24"/>
          <w:vertAlign w:val="superscript"/>
        </w:rPr>
        <w:t>29</w:t>
      </w:r>
      <w:r w:rsidRPr="007266F7">
        <w:rPr>
          <w:rFonts w:asciiTheme="minorHAnsi" w:hAnsiTheme="minorHAnsi" w:cstheme="minorHAnsi"/>
          <w:sz w:val="24"/>
          <w:szCs w:val="24"/>
        </w:rPr>
        <w:t xml:space="preserve"> úředně ověřovat, neboť autenticitu dokumentu zajistí samotný systém datových schránek. </w:t>
      </w:r>
    </w:p>
    <w:p w14:paraId="156BB22B" w14:textId="0F293116" w:rsidR="009A1391" w:rsidRPr="007266F7" w:rsidRDefault="009A1391" w:rsidP="00E64A5A">
      <w:pPr>
        <w:spacing w:after="120" w:line="276" w:lineRule="auto"/>
        <w:ind w:left="851" w:right="564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b/>
          <w:bCs/>
          <w:sz w:val="24"/>
          <w:szCs w:val="24"/>
        </w:rPr>
        <w:t xml:space="preserve">Datová zpráva </w:t>
      </w:r>
      <w:r w:rsidR="008C5CEE" w:rsidRPr="007266F7">
        <w:rPr>
          <w:rFonts w:asciiTheme="minorHAnsi" w:hAnsiTheme="minorHAnsi" w:cstheme="minorHAnsi"/>
          <w:b/>
          <w:bCs/>
          <w:sz w:val="24"/>
          <w:szCs w:val="24"/>
        </w:rPr>
        <w:t>s vyúčtováním</w:t>
      </w:r>
      <w:r w:rsidRPr="007266F7">
        <w:rPr>
          <w:rFonts w:asciiTheme="minorHAnsi" w:hAnsiTheme="minorHAnsi" w:cstheme="minorHAnsi"/>
          <w:b/>
          <w:bCs/>
          <w:sz w:val="24"/>
          <w:szCs w:val="24"/>
        </w:rPr>
        <w:t xml:space="preserve"> musí být označena </w:t>
      </w:r>
      <w:r w:rsidR="0023041D" w:rsidRPr="007266F7">
        <w:rPr>
          <w:rFonts w:asciiTheme="minorHAnsi" w:hAnsiTheme="minorHAnsi" w:cstheme="minorHAnsi"/>
          <w:sz w:val="24"/>
          <w:szCs w:val="24"/>
        </w:rPr>
        <w:t>„Vyúčtování 202</w:t>
      </w:r>
      <w:r w:rsidR="00186FD4">
        <w:rPr>
          <w:rFonts w:asciiTheme="minorHAnsi" w:hAnsiTheme="minorHAnsi" w:cstheme="minorHAnsi"/>
          <w:sz w:val="24"/>
          <w:szCs w:val="24"/>
        </w:rPr>
        <w:t>2</w:t>
      </w:r>
      <w:r w:rsidR="0023041D" w:rsidRPr="007266F7">
        <w:rPr>
          <w:rFonts w:asciiTheme="minorHAnsi" w:hAnsiTheme="minorHAnsi" w:cstheme="minorHAnsi"/>
          <w:sz w:val="24"/>
          <w:szCs w:val="24"/>
        </w:rPr>
        <w:t>_</w:t>
      </w:r>
      <w:r w:rsidR="0023041D" w:rsidRPr="007266F7">
        <w:rPr>
          <w:rFonts w:asciiTheme="minorHAnsi" w:hAnsiTheme="minorHAnsi" w:cstheme="minorHAnsi"/>
          <w:i/>
          <w:sz w:val="24"/>
          <w:szCs w:val="24"/>
        </w:rPr>
        <w:t xml:space="preserve">číslo </w:t>
      </w:r>
      <w:r w:rsidR="0023041D">
        <w:rPr>
          <w:rFonts w:asciiTheme="minorHAnsi" w:hAnsiTheme="minorHAnsi" w:cstheme="minorHAnsi"/>
          <w:i/>
          <w:sz w:val="24"/>
          <w:szCs w:val="24"/>
        </w:rPr>
        <w:t>jednací</w:t>
      </w:r>
      <w:r w:rsidR="0023041D" w:rsidRPr="007266F7">
        <w:rPr>
          <w:rFonts w:asciiTheme="minorHAnsi" w:hAnsiTheme="minorHAnsi" w:cstheme="minorHAnsi"/>
          <w:sz w:val="24"/>
          <w:szCs w:val="24"/>
        </w:rPr>
        <w:t>“ -</w:t>
      </w:r>
      <w:r w:rsidR="0023041D" w:rsidRPr="007266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41D" w:rsidRPr="007266F7">
        <w:rPr>
          <w:rFonts w:asciiTheme="minorHAnsi" w:hAnsiTheme="minorHAnsi" w:cstheme="minorHAnsi"/>
          <w:sz w:val="24"/>
          <w:szCs w:val="24"/>
        </w:rPr>
        <w:t>např.</w:t>
      </w:r>
      <w:r w:rsidR="0023041D"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041D" w:rsidRPr="007266F7">
        <w:rPr>
          <w:rFonts w:asciiTheme="minorHAnsi" w:hAnsiTheme="minorHAnsi" w:cstheme="minorHAnsi"/>
          <w:sz w:val="24"/>
          <w:szCs w:val="24"/>
        </w:rPr>
        <w:t>„Vyúčtování 202</w:t>
      </w:r>
      <w:r w:rsidR="00186FD4">
        <w:rPr>
          <w:rFonts w:asciiTheme="minorHAnsi" w:hAnsiTheme="minorHAnsi" w:cstheme="minorHAnsi"/>
          <w:sz w:val="24"/>
          <w:szCs w:val="24"/>
        </w:rPr>
        <w:t>2</w:t>
      </w:r>
      <w:r w:rsidR="0023041D" w:rsidRPr="007266F7">
        <w:rPr>
          <w:rFonts w:asciiTheme="minorHAnsi" w:hAnsiTheme="minorHAnsi" w:cstheme="minorHAnsi"/>
          <w:spacing w:val="1"/>
          <w:sz w:val="24"/>
          <w:szCs w:val="24"/>
        </w:rPr>
        <w:t xml:space="preserve"> - </w:t>
      </w:r>
      <w:r w:rsidR="0023041D">
        <w:rPr>
          <w:color w:val="444444"/>
          <w:shd w:val="clear" w:color="auto" w:fill="FFFFFF"/>
        </w:rPr>
        <w:t>NSA-00XX/2020/D</w:t>
      </w:r>
      <w:r w:rsidR="0023041D" w:rsidRPr="007266F7">
        <w:rPr>
          <w:rFonts w:asciiTheme="minorHAnsi" w:hAnsiTheme="minorHAnsi" w:cstheme="minorHAnsi"/>
          <w:sz w:val="24"/>
          <w:szCs w:val="24"/>
        </w:rPr>
        <w:t>“.</w:t>
      </w:r>
      <w:r w:rsidRPr="007266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31029F4" w14:textId="77777777" w:rsidR="00186FD4" w:rsidRDefault="00186FD4" w:rsidP="007266F7">
      <w:pPr>
        <w:pStyle w:val="Nadpis1"/>
        <w:spacing w:after="120" w:line="276" w:lineRule="auto"/>
        <w:jc w:val="both"/>
        <w:rPr>
          <w:rFonts w:asciiTheme="minorHAnsi" w:hAnsiTheme="minorHAnsi" w:cstheme="minorHAnsi"/>
          <w:color w:val="FF0000"/>
        </w:rPr>
      </w:pPr>
    </w:p>
    <w:p w14:paraId="46D3FA44" w14:textId="5AFC1074" w:rsidR="006F421E" w:rsidRPr="006F421E" w:rsidRDefault="006F421E" w:rsidP="007266F7">
      <w:pPr>
        <w:pStyle w:val="Nadpis1"/>
        <w:spacing w:after="120" w:line="276" w:lineRule="auto"/>
        <w:jc w:val="both"/>
        <w:rPr>
          <w:rFonts w:asciiTheme="minorHAnsi" w:hAnsiTheme="minorHAnsi" w:cstheme="minorHAnsi"/>
          <w:color w:val="FF0000"/>
        </w:rPr>
      </w:pPr>
      <w:r w:rsidRPr="006F421E">
        <w:rPr>
          <w:rFonts w:asciiTheme="minorHAnsi" w:hAnsiTheme="minorHAnsi" w:cstheme="minorHAnsi"/>
          <w:color w:val="FF0000"/>
        </w:rPr>
        <w:t>VYÚČTOVÁNÍ NENAHRÁVÁTE DO ELEKTRONICKÉHO SYSTÉMU</w:t>
      </w:r>
      <w:r>
        <w:rPr>
          <w:rFonts w:asciiTheme="minorHAnsi" w:hAnsiTheme="minorHAnsi" w:cstheme="minorHAnsi"/>
          <w:color w:val="FF0000"/>
        </w:rPr>
        <w:t xml:space="preserve"> </w:t>
      </w:r>
    </w:p>
    <w:p w14:paraId="11F56C5C" w14:textId="42F30C7B" w:rsidR="00974601" w:rsidRPr="007266F7" w:rsidRDefault="002A23F7" w:rsidP="007266F7">
      <w:pPr>
        <w:pStyle w:val="Nadpis1"/>
        <w:spacing w:after="120" w:line="276" w:lineRule="auto"/>
        <w:jc w:val="both"/>
        <w:rPr>
          <w:rFonts w:asciiTheme="minorHAnsi" w:hAnsiTheme="minorHAnsi" w:cstheme="minorHAnsi"/>
        </w:rPr>
      </w:pPr>
      <w:r w:rsidRPr="007266F7">
        <w:rPr>
          <w:rFonts w:asciiTheme="minorHAnsi" w:hAnsiTheme="minorHAnsi" w:cstheme="minorHAnsi"/>
        </w:rPr>
        <w:t>Ostatní</w:t>
      </w:r>
      <w:r w:rsidRPr="007266F7">
        <w:rPr>
          <w:rFonts w:asciiTheme="minorHAnsi" w:hAnsiTheme="minorHAnsi" w:cstheme="minorHAnsi"/>
          <w:spacing w:val="-4"/>
        </w:rPr>
        <w:t xml:space="preserve"> </w:t>
      </w:r>
      <w:r w:rsidRPr="007266F7">
        <w:rPr>
          <w:rFonts w:asciiTheme="minorHAnsi" w:hAnsiTheme="minorHAnsi" w:cstheme="minorHAnsi"/>
        </w:rPr>
        <w:t>informace:</w:t>
      </w:r>
    </w:p>
    <w:p w14:paraId="11F56C5D" w14:textId="77777777" w:rsidR="00974601" w:rsidRPr="007266F7" w:rsidRDefault="002A23F7" w:rsidP="007266F7">
      <w:pPr>
        <w:pStyle w:val="Zkladntext"/>
        <w:spacing w:after="120" w:line="276" w:lineRule="auto"/>
        <w:ind w:left="101" w:right="555"/>
        <w:jc w:val="both"/>
        <w:rPr>
          <w:rFonts w:asciiTheme="minorHAnsi" w:hAnsiTheme="minorHAnsi" w:cstheme="minorHAnsi"/>
        </w:rPr>
      </w:pPr>
      <w:r w:rsidRPr="007266F7">
        <w:rPr>
          <w:rFonts w:asciiTheme="minorHAnsi" w:hAnsiTheme="minorHAnsi" w:cstheme="minorHAnsi"/>
        </w:rPr>
        <w:t xml:space="preserve">Příjemce dotace při vyúčtování </w:t>
      </w:r>
      <w:r w:rsidRPr="007266F7">
        <w:rPr>
          <w:rFonts w:asciiTheme="minorHAnsi" w:hAnsiTheme="minorHAnsi" w:cstheme="minorHAnsi"/>
          <w:b/>
        </w:rPr>
        <w:t xml:space="preserve">nepředkládá </w:t>
      </w:r>
      <w:r w:rsidRPr="007266F7">
        <w:rPr>
          <w:rFonts w:asciiTheme="minorHAnsi" w:hAnsiTheme="minorHAnsi" w:cstheme="minorHAnsi"/>
        </w:rPr>
        <w:t>tzv. prvotní účetní doklady, jako například doklady</w:t>
      </w:r>
      <w:r w:rsidRPr="007266F7">
        <w:rPr>
          <w:rFonts w:asciiTheme="minorHAnsi" w:hAnsiTheme="minorHAnsi" w:cstheme="minorHAnsi"/>
          <w:spacing w:val="-53"/>
        </w:rPr>
        <w:t xml:space="preserve"> </w:t>
      </w:r>
      <w:r w:rsidRPr="007266F7">
        <w:rPr>
          <w:rFonts w:asciiTheme="minorHAnsi" w:hAnsiTheme="minorHAnsi" w:cstheme="minorHAnsi"/>
        </w:rPr>
        <w:t>o</w:t>
      </w:r>
      <w:r w:rsidRPr="007266F7">
        <w:rPr>
          <w:rFonts w:asciiTheme="minorHAnsi" w:hAnsiTheme="minorHAnsi" w:cstheme="minorHAnsi"/>
          <w:spacing w:val="-10"/>
        </w:rPr>
        <w:t xml:space="preserve"> </w:t>
      </w:r>
      <w:r w:rsidRPr="007266F7">
        <w:rPr>
          <w:rFonts w:asciiTheme="minorHAnsi" w:hAnsiTheme="minorHAnsi" w:cstheme="minorHAnsi"/>
        </w:rPr>
        <w:t>provedení</w:t>
      </w:r>
      <w:r w:rsidRPr="007266F7">
        <w:rPr>
          <w:rFonts w:asciiTheme="minorHAnsi" w:hAnsiTheme="minorHAnsi" w:cstheme="minorHAnsi"/>
          <w:spacing w:val="-10"/>
        </w:rPr>
        <w:t xml:space="preserve"> </w:t>
      </w:r>
      <w:r w:rsidRPr="007266F7">
        <w:rPr>
          <w:rFonts w:asciiTheme="minorHAnsi" w:hAnsiTheme="minorHAnsi" w:cstheme="minorHAnsi"/>
        </w:rPr>
        <w:t>úhrad</w:t>
      </w:r>
      <w:r w:rsidRPr="007266F7">
        <w:rPr>
          <w:rFonts w:asciiTheme="minorHAnsi" w:hAnsiTheme="minorHAnsi" w:cstheme="minorHAnsi"/>
          <w:spacing w:val="-10"/>
        </w:rPr>
        <w:t xml:space="preserve"> </w:t>
      </w:r>
      <w:r w:rsidRPr="007266F7">
        <w:rPr>
          <w:rFonts w:asciiTheme="minorHAnsi" w:hAnsiTheme="minorHAnsi" w:cstheme="minorHAnsi"/>
        </w:rPr>
        <w:t>jednotlivých</w:t>
      </w:r>
      <w:r w:rsidRPr="007266F7">
        <w:rPr>
          <w:rFonts w:asciiTheme="minorHAnsi" w:hAnsiTheme="minorHAnsi" w:cstheme="minorHAnsi"/>
          <w:spacing w:val="-9"/>
        </w:rPr>
        <w:t xml:space="preserve"> </w:t>
      </w:r>
      <w:r w:rsidRPr="007266F7">
        <w:rPr>
          <w:rFonts w:asciiTheme="minorHAnsi" w:hAnsiTheme="minorHAnsi" w:cstheme="minorHAnsi"/>
        </w:rPr>
        <w:t>nákladů</w:t>
      </w:r>
      <w:r w:rsidRPr="007266F7">
        <w:rPr>
          <w:rFonts w:asciiTheme="minorHAnsi" w:hAnsiTheme="minorHAnsi" w:cstheme="minorHAnsi"/>
          <w:spacing w:val="-7"/>
        </w:rPr>
        <w:t xml:space="preserve"> </w:t>
      </w:r>
      <w:r w:rsidRPr="007266F7">
        <w:rPr>
          <w:rFonts w:asciiTheme="minorHAnsi" w:hAnsiTheme="minorHAnsi" w:cstheme="minorHAnsi"/>
        </w:rPr>
        <w:t>–</w:t>
      </w:r>
      <w:r w:rsidRPr="007266F7">
        <w:rPr>
          <w:rFonts w:asciiTheme="minorHAnsi" w:hAnsiTheme="minorHAnsi" w:cstheme="minorHAnsi"/>
          <w:spacing w:val="-9"/>
        </w:rPr>
        <w:t xml:space="preserve"> </w:t>
      </w:r>
      <w:r w:rsidRPr="007266F7">
        <w:rPr>
          <w:rFonts w:asciiTheme="minorHAnsi" w:hAnsiTheme="minorHAnsi" w:cstheme="minorHAnsi"/>
        </w:rPr>
        <w:t>výpisy</w:t>
      </w:r>
      <w:r w:rsidRPr="007266F7">
        <w:rPr>
          <w:rFonts w:asciiTheme="minorHAnsi" w:hAnsiTheme="minorHAnsi" w:cstheme="minorHAnsi"/>
          <w:spacing w:val="-13"/>
        </w:rPr>
        <w:t xml:space="preserve"> </w:t>
      </w:r>
      <w:r w:rsidRPr="007266F7">
        <w:rPr>
          <w:rFonts w:asciiTheme="minorHAnsi" w:hAnsiTheme="minorHAnsi" w:cstheme="minorHAnsi"/>
        </w:rPr>
        <w:t>z</w:t>
      </w:r>
      <w:r w:rsidRPr="007266F7">
        <w:rPr>
          <w:rFonts w:asciiTheme="minorHAnsi" w:hAnsiTheme="minorHAnsi" w:cstheme="minorHAnsi"/>
          <w:spacing w:val="-11"/>
        </w:rPr>
        <w:t xml:space="preserve"> </w:t>
      </w:r>
      <w:r w:rsidRPr="007266F7">
        <w:rPr>
          <w:rFonts w:asciiTheme="minorHAnsi" w:hAnsiTheme="minorHAnsi" w:cstheme="minorHAnsi"/>
        </w:rPr>
        <w:t>účtu/výdajové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</w:rPr>
        <w:t>pokladní</w:t>
      </w:r>
      <w:r w:rsidRPr="007266F7">
        <w:rPr>
          <w:rFonts w:asciiTheme="minorHAnsi" w:hAnsiTheme="minorHAnsi" w:cstheme="minorHAnsi"/>
          <w:spacing w:val="-12"/>
        </w:rPr>
        <w:t xml:space="preserve"> </w:t>
      </w:r>
      <w:r w:rsidRPr="007266F7">
        <w:rPr>
          <w:rFonts w:asciiTheme="minorHAnsi" w:hAnsiTheme="minorHAnsi" w:cstheme="minorHAnsi"/>
        </w:rPr>
        <w:t>doklady,</w:t>
      </w:r>
      <w:r w:rsidRPr="007266F7">
        <w:rPr>
          <w:rFonts w:asciiTheme="minorHAnsi" w:hAnsiTheme="minorHAnsi" w:cstheme="minorHAnsi"/>
          <w:spacing w:val="-10"/>
        </w:rPr>
        <w:t xml:space="preserve"> </w:t>
      </w:r>
      <w:r w:rsidRPr="007266F7">
        <w:rPr>
          <w:rFonts w:asciiTheme="minorHAnsi" w:hAnsiTheme="minorHAnsi" w:cstheme="minorHAnsi"/>
        </w:rPr>
        <w:t>dále</w:t>
      </w:r>
      <w:r w:rsidRPr="007266F7">
        <w:rPr>
          <w:rFonts w:asciiTheme="minorHAnsi" w:hAnsiTheme="minorHAnsi" w:cstheme="minorHAnsi"/>
          <w:spacing w:val="-9"/>
        </w:rPr>
        <w:t xml:space="preserve"> </w:t>
      </w:r>
      <w:r w:rsidRPr="007266F7">
        <w:rPr>
          <w:rFonts w:asciiTheme="minorHAnsi" w:hAnsiTheme="minorHAnsi" w:cstheme="minorHAnsi"/>
        </w:rPr>
        <w:t>dohody</w:t>
      </w:r>
    </w:p>
    <w:p w14:paraId="11F56C5E" w14:textId="77777777" w:rsidR="00974601" w:rsidRPr="007266F7" w:rsidRDefault="002A23F7" w:rsidP="007266F7">
      <w:pPr>
        <w:spacing w:after="120" w:line="276" w:lineRule="auto"/>
        <w:ind w:left="101" w:right="555"/>
        <w:jc w:val="both"/>
        <w:rPr>
          <w:rFonts w:asciiTheme="minorHAnsi" w:hAnsiTheme="minorHAnsi" w:cstheme="minorHAnsi"/>
          <w:sz w:val="24"/>
          <w:szCs w:val="24"/>
        </w:rPr>
      </w:pPr>
      <w:r w:rsidRPr="007266F7">
        <w:rPr>
          <w:rFonts w:asciiTheme="minorHAnsi" w:hAnsiTheme="minorHAnsi" w:cstheme="minorHAnsi"/>
          <w:sz w:val="24"/>
          <w:szCs w:val="24"/>
        </w:rPr>
        <w:t>o provedení práce, faktury, smlouvy</w:t>
      </w:r>
      <w:r w:rsidRPr="007266F7">
        <w:rPr>
          <w:rFonts w:asciiTheme="minorHAnsi" w:hAnsiTheme="minorHAnsi" w:cstheme="minorHAnsi"/>
          <w:b/>
          <w:sz w:val="24"/>
          <w:szCs w:val="24"/>
        </w:rPr>
        <w:t>. Nicméně je nutné, aby byly druhy nákladů průkazně</w:t>
      </w:r>
      <w:r w:rsidRPr="007266F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popsány</w:t>
      </w:r>
      <w:r w:rsidRPr="007266F7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v</w:t>
      </w:r>
      <w:r w:rsidRPr="007266F7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komentáři</w:t>
      </w:r>
      <w:r w:rsidRPr="007266F7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závěrečné</w:t>
      </w:r>
      <w:r w:rsidRPr="007266F7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zprávy</w:t>
      </w:r>
      <w:r w:rsidRPr="007266F7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k</w:t>
      </w:r>
      <w:r w:rsidRPr="007266F7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sz w:val="24"/>
          <w:szCs w:val="24"/>
        </w:rPr>
        <w:t>vyúčtování.</w:t>
      </w:r>
      <w:r w:rsidRPr="007266F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Prvotní</w:t>
      </w:r>
      <w:r w:rsidRPr="007266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doklady</w:t>
      </w:r>
      <w:r w:rsidRPr="007266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musí</w:t>
      </w:r>
      <w:r w:rsidRPr="007266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být</w:t>
      </w:r>
      <w:r w:rsidRPr="007266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příjemce</w:t>
      </w:r>
      <w:r w:rsidRPr="007266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dotace</w:t>
      </w:r>
      <w:r w:rsidRPr="007266F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schopen</w:t>
      </w:r>
      <w:r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doložit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při veřejnosprávní kontrole</w:t>
      </w:r>
      <w:r w:rsidRPr="007266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hospodaření</w:t>
      </w:r>
      <w:r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státní</w:t>
      </w:r>
      <w:r w:rsidRPr="00726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sz w:val="24"/>
          <w:szCs w:val="24"/>
        </w:rPr>
        <w:t>dotace.</w:t>
      </w:r>
    </w:p>
    <w:p w14:paraId="11F56C85" w14:textId="77777777" w:rsidR="00974601" w:rsidRPr="007266F7" w:rsidRDefault="00974601" w:rsidP="007266F7">
      <w:pPr>
        <w:pStyle w:val="Zkladntext"/>
        <w:spacing w:after="120" w:line="276" w:lineRule="auto"/>
        <w:rPr>
          <w:rFonts w:asciiTheme="minorHAnsi" w:hAnsiTheme="minorHAnsi" w:cstheme="minorHAnsi"/>
        </w:rPr>
      </w:pPr>
    </w:p>
    <w:p w14:paraId="11F56C86" w14:textId="77777777" w:rsidR="00974601" w:rsidRPr="007266F7" w:rsidRDefault="002A23F7" w:rsidP="007266F7">
      <w:pPr>
        <w:spacing w:after="120" w:line="276" w:lineRule="auto"/>
        <w:ind w:right="56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Upozorňujeme,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že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při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nedodání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vyúčtování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a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finančního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vypořádání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dotace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v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řádném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termínu postupuje poskytovatel v souladu s § 14f zákona č. 218/2000 Sb., o rozpočtových</w:t>
      </w:r>
      <w:r w:rsidRPr="007266F7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pravidlech, ve</w:t>
      </w:r>
      <w:r w:rsidRPr="007266F7">
        <w:rPr>
          <w:rFonts w:asciiTheme="minorHAnsi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znění</w:t>
      </w:r>
      <w:r w:rsidRPr="007266F7">
        <w:rPr>
          <w:rFonts w:asciiTheme="minorHAnsi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pozdějších</w:t>
      </w:r>
      <w:r w:rsidRPr="007266F7">
        <w:rPr>
          <w:rFonts w:asciiTheme="minorHAnsi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Pr="007266F7">
        <w:rPr>
          <w:rFonts w:asciiTheme="minorHAnsi" w:hAnsiTheme="minorHAnsi" w:cstheme="minorHAnsi"/>
          <w:b/>
          <w:color w:val="FF0000"/>
          <w:sz w:val="24"/>
          <w:szCs w:val="24"/>
        </w:rPr>
        <w:t>předpisů.</w:t>
      </w:r>
    </w:p>
    <w:sectPr w:rsidR="00974601" w:rsidRPr="007266F7" w:rsidSect="008F59BE">
      <w:headerReference w:type="default" r:id="rId7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E908" w14:textId="77777777" w:rsidR="00F9253F" w:rsidRDefault="00F9253F" w:rsidP="009A1391">
      <w:r>
        <w:separator/>
      </w:r>
    </w:p>
  </w:endnote>
  <w:endnote w:type="continuationSeparator" w:id="0">
    <w:p w14:paraId="0DC98403" w14:textId="77777777" w:rsidR="00F9253F" w:rsidRDefault="00F9253F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D5D0" w14:textId="77777777" w:rsidR="00F9253F" w:rsidRDefault="00F9253F" w:rsidP="009A1391">
      <w:r>
        <w:separator/>
      </w:r>
    </w:p>
  </w:footnote>
  <w:footnote w:type="continuationSeparator" w:id="0">
    <w:p w14:paraId="1F05AA40" w14:textId="77777777" w:rsidR="00F9253F" w:rsidRDefault="00F9253F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76B44722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4080CEC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color w:val="auto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99681012">
    <w:abstractNumId w:val="0"/>
  </w:num>
  <w:num w:numId="2" w16cid:durableId="1371153809">
    <w:abstractNumId w:val="5"/>
  </w:num>
  <w:num w:numId="3" w16cid:durableId="361715188">
    <w:abstractNumId w:val="7"/>
  </w:num>
  <w:num w:numId="4" w16cid:durableId="808671385">
    <w:abstractNumId w:val="3"/>
  </w:num>
  <w:num w:numId="5" w16cid:durableId="1836604820">
    <w:abstractNumId w:val="2"/>
  </w:num>
  <w:num w:numId="6" w16cid:durableId="2104842286">
    <w:abstractNumId w:val="4"/>
  </w:num>
  <w:num w:numId="7" w16cid:durableId="19749250">
    <w:abstractNumId w:val="9"/>
  </w:num>
  <w:num w:numId="8" w16cid:durableId="1623993283">
    <w:abstractNumId w:val="1"/>
  </w:num>
  <w:num w:numId="9" w16cid:durableId="2088454824">
    <w:abstractNumId w:val="8"/>
  </w:num>
  <w:num w:numId="10" w16cid:durableId="1396509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601"/>
    <w:rsid w:val="000624BB"/>
    <w:rsid w:val="00114FE2"/>
    <w:rsid w:val="001426F8"/>
    <w:rsid w:val="00186FD4"/>
    <w:rsid w:val="001C301B"/>
    <w:rsid w:val="0023041D"/>
    <w:rsid w:val="00232B03"/>
    <w:rsid w:val="00285054"/>
    <w:rsid w:val="002A23F7"/>
    <w:rsid w:val="002A6837"/>
    <w:rsid w:val="00305EA8"/>
    <w:rsid w:val="00324817"/>
    <w:rsid w:val="00352E01"/>
    <w:rsid w:val="00386A6A"/>
    <w:rsid w:val="00403B3A"/>
    <w:rsid w:val="00436503"/>
    <w:rsid w:val="00501BD0"/>
    <w:rsid w:val="005033F8"/>
    <w:rsid w:val="005267EE"/>
    <w:rsid w:val="005343B2"/>
    <w:rsid w:val="00686301"/>
    <w:rsid w:val="006A5E33"/>
    <w:rsid w:val="006A77C5"/>
    <w:rsid w:val="006F421E"/>
    <w:rsid w:val="007266F7"/>
    <w:rsid w:val="0074159F"/>
    <w:rsid w:val="0074722D"/>
    <w:rsid w:val="007623A9"/>
    <w:rsid w:val="00824509"/>
    <w:rsid w:val="00826665"/>
    <w:rsid w:val="008C5CEE"/>
    <w:rsid w:val="008F59BE"/>
    <w:rsid w:val="0091446A"/>
    <w:rsid w:val="00974601"/>
    <w:rsid w:val="00976AFA"/>
    <w:rsid w:val="009A1391"/>
    <w:rsid w:val="00A46B45"/>
    <w:rsid w:val="00A46FA5"/>
    <w:rsid w:val="00A873CA"/>
    <w:rsid w:val="00B37BC8"/>
    <w:rsid w:val="00B51732"/>
    <w:rsid w:val="00C12CBE"/>
    <w:rsid w:val="00CB4502"/>
    <w:rsid w:val="00CC2874"/>
    <w:rsid w:val="00DA5D08"/>
    <w:rsid w:val="00DB0789"/>
    <w:rsid w:val="00E64A5A"/>
    <w:rsid w:val="00E74FFA"/>
    <w:rsid w:val="00EC7DEF"/>
    <w:rsid w:val="00F16E85"/>
    <w:rsid w:val="00F9253F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23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Šlajchrt Martin</cp:lastModifiedBy>
  <cp:revision>21</cp:revision>
  <dcterms:created xsi:type="dcterms:W3CDTF">2021-12-12T13:22:00Z</dcterms:created>
  <dcterms:modified xsi:type="dcterms:W3CDTF">2022-08-29T12:38:00Z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